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728"/>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840"/>
        <w:gridCol w:w="1851"/>
        <w:gridCol w:w="288"/>
        <w:gridCol w:w="943"/>
        <w:gridCol w:w="940"/>
        <w:gridCol w:w="938"/>
      </w:tblGrid>
      <w:tr w:rsidR="008E24CF" w:rsidRPr="008E24CF" w14:paraId="4D71A6E3" w14:textId="77777777" w:rsidTr="00641198">
        <w:trPr>
          <w:trHeight w:val="3510"/>
        </w:trPr>
        <w:tc>
          <w:tcPr>
            <w:tcW w:w="7691" w:type="dxa"/>
            <w:gridSpan w:val="2"/>
            <w:vMerge w:val="restart"/>
            <w:shd w:val="clear" w:color="auto" w:fill="2680BE"/>
          </w:tcPr>
          <w:p w14:paraId="38C6A6AD" w14:textId="77777777" w:rsidR="008E24CF" w:rsidRPr="008E24CF" w:rsidRDefault="008E24CF" w:rsidP="008E24CF">
            <w:pPr>
              <w:ind w:left="331" w:right="245"/>
              <w:rPr>
                <w:rFonts w:cs="Times New Roman"/>
                <w:b/>
                <w:color w:val="FFFFFF"/>
                <w:kern w:val="28"/>
                <w:sz w:val="20"/>
                <w:szCs w:val="20"/>
                <w:lang w:eastAsia="ja-JP"/>
              </w:rPr>
            </w:pPr>
          </w:p>
          <w:p w14:paraId="37F4FAB0" w14:textId="77777777" w:rsidR="008E24CF" w:rsidRPr="00AB4455" w:rsidRDefault="008E24CF" w:rsidP="008E24CF">
            <w:pPr>
              <w:ind w:left="331" w:right="245"/>
              <w:rPr>
                <w:rFonts w:cs="Times New Roman"/>
                <w:b/>
                <w:color w:val="FFFFFF"/>
                <w:kern w:val="28"/>
                <w:sz w:val="24"/>
                <w:szCs w:val="24"/>
                <w:lang w:eastAsia="ja-JP"/>
              </w:rPr>
            </w:pPr>
            <w:r w:rsidRPr="00AB4455">
              <w:rPr>
                <w:rFonts w:cs="Times New Roman"/>
                <w:b/>
                <w:color w:val="FFFFFF"/>
                <w:kern w:val="28"/>
                <w:sz w:val="24"/>
                <w:szCs w:val="24"/>
                <w:lang w:eastAsia="ja-JP"/>
              </w:rPr>
              <w:t>UTC INSTITUTE FOR ADVANCED SYSTEMS ENGINEERING</w:t>
            </w:r>
          </w:p>
          <w:p w14:paraId="4C42027C" w14:textId="5777B7CE" w:rsidR="008E24CF" w:rsidRPr="00AB4455" w:rsidRDefault="00E1307F" w:rsidP="008E24CF">
            <w:pPr>
              <w:ind w:left="338" w:right="240"/>
              <w:rPr>
                <w:rFonts w:cs="Times New Roman"/>
                <w:b/>
                <w:color w:val="FFFFFF"/>
                <w:kern w:val="28"/>
                <w:sz w:val="28"/>
                <w:szCs w:val="28"/>
                <w:lang w:eastAsia="ja-JP"/>
              </w:rPr>
            </w:pPr>
            <w:r w:rsidRPr="00AB4455">
              <w:rPr>
                <w:rFonts w:cs="Times New Roman"/>
                <w:b/>
                <w:color w:val="FFFFFF"/>
                <w:kern w:val="28"/>
                <w:sz w:val="28"/>
                <w:szCs w:val="28"/>
                <w:lang w:eastAsia="ja-JP"/>
              </w:rPr>
              <w:t>Seminar</w:t>
            </w:r>
            <w:r w:rsidR="008E24CF" w:rsidRPr="00AB4455">
              <w:rPr>
                <w:rFonts w:cs="Times New Roman"/>
                <w:b/>
                <w:color w:val="FFFFFF"/>
                <w:kern w:val="28"/>
                <w:sz w:val="28"/>
                <w:szCs w:val="28"/>
                <w:lang w:eastAsia="ja-JP"/>
              </w:rPr>
              <w:t xml:space="preserve"> Series</w:t>
            </w:r>
          </w:p>
          <w:p w14:paraId="5C236862" w14:textId="77777777" w:rsidR="00AB4455" w:rsidRDefault="008E24CF" w:rsidP="008E24CF">
            <w:pPr>
              <w:ind w:left="345" w:right="240"/>
              <w:rPr>
                <w:color w:val="FFFFFF"/>
                <w:sz w:val="24"/>
                <w:szCs w:val="40"/>
              </w:rPr>
            </w:pPr>
            <w:r w:rsidRPr="008E24CF">
              <w:rPr>
                <w:color w:val="FFFFFF"/>
                <w:sz w:val="24"/>
                <w:szCs w:val="40"/>
              </w:rPr>
              <w:t xml:space="preserve">Monday </w:t>
            </w:r>
            <w:r w:rsidR="00AB4455">
              <w:rPr>
                <w:color w:val="FFFFFF"/>
                <w:sz w:val="24"/>
                <w:szCs w:val="40"/>
              </w:rPr>
              <w:t>October 1, 2018</w:t>
            </w:r>
          </w:p>
          <w:p w14:paraId="1B663301" w14:textId="047D75F8" w:rsidR="008E24CF" w:rsidRPr="008E24CF" w:rsidRDefault="008E24CF" w:rsidP="008E24CF">
            <w:pPr>
              <w:ind w:left="345" w:right="240"/>
              <w:rPr>
                <w:color w:val="FFFFFF"/>
                <w:sz w:val="24"/>
                <w:szCs w:val="40"/>
              </w:rPr>
            </w:pPr>
            <w:r w:rsidRPr="008E24CF">
              <w:rPr>
                <w:color w:val="FFFFFF"/>
                <w:sz w:val="24"/>
                <w:szCs w:val="40"/>
              </w:rPr>
              <w:t>1:00 - 2:00PM</w:t>
            </w:r>
          </w:p>
          <w:p w14:paraId="3ABF6CAE" w14:textId="5A256685" w:rsidR="008E24CF" w:rsidRPr="008E24CF" w:rsidRDefault="008E24CF" w:rsidP="008E24CF">
            <w:pPr>
              <w:ind w:left="345" w:right="240"/>
              <w:rPr>
                <w:color w:val="FFFFFF"/>
                <w:sz w:val="24"/>
                <w:szCs w:val="40"/>
                <w:u w:val="single"/>
              </w:rPr>
            </w:pPr>
            <w:r w:rsidRPr="008E24CF">
              <w:rPr>
                <w:color w:val="FFFFFF"/>
                <w:sz w:val="24"/>
                <w:szCs w:val="40"/>
              </w:rPr>
              <w:t xml:space="preserve">UConn, Storrs Campus – </w:t>
            </w:r>
            <w:r w:rsidR="00AB4455">
              <w:rPr>
                <w:color w:val="FFFFFF"/>
                <w:sz w:val="24"/>
                <w:szCs w:val="40"/>
              </w:rPr>
              <w:t>IPB 203</w:t>
            </w:r>
            <w:r w:rsidRPr="008E24CF">
              <w:rPr>
                <w:color w:val="FFFFFF"/>
                <w:sz w:val="24"/>
                <w:szCs w:val="40"/>
              </w:rPr>
              <w:br/>
            </w:r>
            <w:r w:rsidR="00F3676A">
              <w:rPr>
                <w:color w:val="FFFFFF"/>
                <w:sz w:val="24"/>
                <w:szCs w:val="40"/>
                <w:u w:val="single"/>
              </w:rPr>
              <w:fldChar w:fldCharType="begin"/>
            </w:r>
            <w:r w:rsidR="00AB4455">
              <w:rPr>
                <w:color w:val="FFFFFF"/>
                <w:sz w:val="24"/>
                <w:szCs w:val="40"/>
                <w:u w:val="single"/>
              </w:rPr>
              <w:instrText>HYPERLINK "https://na01.safelinks.protection.outlook.com/?url=https%3A%2F%2Fuconn.webex.com%2Fuconn%2Fj.php%3FMTID%3Dma907bc2747ef3388f68ef01580f303fe&amp;data=02%7C01%7C%7C1627e90157c0494665ad08d627964dfb%7C17f1a87e2a254eaab9df9d439034b080%7C0%7C0%7C636739923827713634&amp;sdata=jCuk1fIer4hgwpSs6V0HqwE5hYSSVFSjMGyZCLLKs50%3D&amp;reserved=0"</w:instrText>
            </w:r>
            <w:r w:rsidR="00AB4455">
              <w:rPr>
                <w:color w:val="FFFFFF"/>
                <w:sz w:val="24"/>
                <w:szCs w:val="40"/>
                <w:u w:val="single"/>
              </w:rPr>
            </w:r>
            <w:r w:rsidR="00F3676A">
              <w:rPr>
                <w:rFonts w:asciiTheme="minorHAnsi" w:eastAsiaTheme="minorHAnsi" w:hAnsiTheme="minorHAnsi" w:cstheme="minorBidi"/>
                <w:color w:val="FFFFFF"/>
                <w:sz w:val="24"/>
                <w:szCs w:val="40"/>
                <w:u w:val="single"/>
              </w:rPr>
              <w:fldChar w:fldCharType="separate"/>
            </w:r>
            <w:r w:rsidRPr="008E24CF">
              <w:rPr>
                <w:color w:val="FFFFFF"/>
                <w:sz w:val="24"/>
                <w:szCs w:val="40"/>
                <w:u w:val="single"/>
              </w:rPr>
              <w:t>To view live webcast click here</w:t>
            </w:r>
            <w:r w:rsidR="00F3676A">
              <w:rPr>
                <w:color w:val="FFFFFF"/>
                <w:sz w:val="24"/>
                <w:szCs w:val="40"/>
                <w:u w:val="single"/>
              </w:rPr>
              <w:fldChar w:fldCharType="end"/>
            </w:r>
          </w:p>
          <w:p w14:paraId="33A91177" w14:textId="73779F01" w:rsidR="00AB4455" w:rsidRPr="00AB4455" w:rsidRDefault="00AB4455" w:rsidP="00AB4455">
            <w:pPr>
              <w:ind w:left="345" w:right="240"/>
              <w:rPr>
                <w:rFonts w:eastAsia="Calibri" w:cs="Times New Roman"/>
                <w:b/>
                <w:color w:val="FFFFFF" w:themeColor="background1"/>
                <w:sz w:val="20"/>
                <w:szCs w:val="20"/>
              </w:rPr>
            </w:pPr>
            <w:r w:rsidRPr="00AB4455">
              <w:rPr>
                <w:rFonts w:eastAsia="Calibri" w:cs="Times New Roman"/>
                <w:b/>
                <w:color w:val="FFFFFF" w:themeColor="background1"/>
                <w:sz w:val="20"/>
                <w:szCs w:val="20"/>
              </w:rPr>
              <w:t>Executable Requirements for Connecting Systems Engineering with Simulation Analysis – Status and Research Needs</w:t>
            </w:r>
          </w:p>
          <w:p w14:paraId="1B95C52D" w14:textId="77777777" w:rsidR="00AB4455" w:rsidRPr="00AB4455" w:rsidRDefault="00AB4455" w:rsidP="00AB4455">
            <w:pPr>
              <w:ind w:left="345" w:right="240"/>
              <w:rPr>
                <w:rFonts w:eastAsia="Calibri" w:cs="Times New Roman"/>
                <w:color w:val="FFFFFF" w:themeColor="background1"/>
                <w:sz w:val="16"/>
                <w:szCs w:val="16"/>
              </w:rPr>
            </w:pPr>
            <w:r w:rsidRPr="00AB4455">
              <w:rPr>
                <w:rFonts w:eastAsia="Calibri" w:cs="Times New Roman"/>
                <w:color w:val="FFFFFF" w:themeColor="background1"/>
                <w:sz w:val="16"/>
                <w:szCs w:val="16"/>
              </w:rPr>
              <w:t xml:space="preserve">Incorporating system models into the software and controls development process allows developers to receive continuous feedback on system performance throughout the design process. Included in this feedback is information about errors, both design limitations (validation) and implementation errors (verification). The benefit of this continuous feedback is more rapid convergence to the final design and less incidence of errors since errors </w:t>
            </w:r>
            <w:proofErr w:type="gramStart"/>
            <w:r w:rsidRPr="00AB4455">
              <w:rPr>
                <w:rFonts w:eastAsia="Calibri" w:cs="Times New Roman"/>
                <w:color w:val="FFFFFF" w:themeColor="background1"/>
                <w:sz w:val="16"/>
                <w:szCs w:val="16"/>
              </w:rPr>
              <w:t>are identified</w:t>
            </w:r>
            <w:proofErr w:type="gramEnd"/>
            <w:r w:rsidRPr="00AB4455">
              <w:rPr>
                <w:rFonts w:eastAsia="Calibri" w:cs="Times New Roman"/>
                <w:color w:val="FFFFFF" w:themeColor="background1"/>
                <w:sz w:val="16"/>
                <w:szCs w:val="16"/>
              </w:rPr>
              <w:t xml:space="preserve"> as soon as they are introduced.  Frequently </w:t>
            </w:r>
            <w:proofErr w:type="spellStart"/>
            <w:r w:rsidRPr="00AB4455">
              <w:rPr>
                <w:rFonts w:eastAsia="Calibri" w:cs="Times New Roman"/>
                <w:color w:val="FFFFFF" w:themeColor="background1"/>
                <w:sz w:val="16"/>
                <w:szCs w:val="16"/>
              </w:rPr>
              <w:t>SysML</w:t>
            </w:r>
            <w:proofErr w:type="spellEnd"/>
            <w:r w:rsidRPr="00AB4455">
              <w:rPr>
                <w:rFonts w:eastAsia="Calibri" w:cs="Times New Roman"/>
                <w:color w:val="FFFFFF" w:themeColor="background1"/>
                <w:sz w:val="16"/>
                <w:szCs w:val="16"/>
              </w:rPr>
              <w:t xml:space="preserve"> and UML </w:t>
            </w:r>
            <w:proofErr w:type="gramStart"/>
            <w:r w:rsidRPr="00AB4455">
              <w:rPr>
                <w:rFonts w:eastAsia="Calibri" w:cs="Times New Roman"/>
                <w:color w:val="FFFFFF" w:themeColor="background1"/>
                <w:sz w:val="16"/>
                <w:szCs w:val="16"/>
              </w:rPr>
              <w:t>are used</w:t>
            </w:r>
            <w:proofErr w:type="gramEnd"/>
            <w:r w:rsidRPr="00AB4455">
              <w:rPr>
                <w:rFonts w:eastAsia="Calibri" w:cs="Times New Roman"/>
                <w:color w:val="FFFFFF" w:themeColor="background1"/>
                <w:sz w:val="16"/>
                <w:szCs w:val="16"/>
              </w:rPr>
              <w:t xml:space="preserve"> to describe these models through visual diagrams when concerning system software.  </w:t>
            </w:r>
          </w:p>
          <w:p w14:paraId="5BBA16D4" w14:textId="77777777" w:rsidR="00AB4455" w:rsidRPr="00AB4455" w:rsidRDefault="00AB4455" w:rsidP="00AB4455">
            <w:pPr>
              <w:ind w:left="345" w:right="240"/>
              <w:rPr>
                <w:rFonts w:eastAsia="Calibri" w:cs="Times New Roman"/>
                <w:color w:val="FFFFFF" w:themeColor="background1"/>
                <w:sz w:val="16"/>
                <w:szCs w:val="16"/>
              </w:rPr>
            </w:pPr>
            <w:r w:rsidRPr="00AB4455">
              <w:rPr>
                <w:rFonts w:eastAsia="Calibri" w:cs="Times New Roman"/>
                <w:color w:val="FFFFFF" w:themeColor="background1"/>
                <w:sz w:val="16"/>
                <w:szCs w:val="16"/>
              </w:rPr>
              <w:t xml:space="preserve">In this </w:t>
            </w:r>
            <w:proofErr w:type="gramStart"/>
            <w:r w:rsidRPr="00AB4455">
              <w:rPr>
                <w:rFonts w:eastAsia="Calibri" w:cs="Times New Roman"/>
                <w:color w:val="FFFFFF" w:themeColor="background1"/>
                <w:sz w:val="16"/>
                <w:szCs w:val="16"/>
              </w:rPr>
              <w:t>presentation</w:t>
            </w:r>
            <w:proofErr w:type="gramEnd"/>
            <w:r w:rsidRPr="00AB4455">
              <w:rPr>
                <w:rFonts w:eastAsia="Calibri" w:cs="Times New Roman"/>
                <w:color w:val="FFFFFF" w:themeColor="background1"/>
                <w:sz w:val="16"/>
                <w:szCs w:val="16"/>
              </w:rPr>
              <w:t xml:space="preserve"> we will look how we can leverage the two open standards </w:t>
            </w:r>
            <w:proofErr w:type="spellStart"/>
            <w:r w:rsidRPr="00AB4455">
              <w:rPr>
                <w:rFonts w:eastAsia="Calibri" w:cs="Times New Roman"/>
                <w:color w:val="FFFFFF" w:themeColor="background1"/>
                <w:sz w:val="16"/>
                <w:szCs w:val="16"/>
              </w:rPr>
              <w:t>Modelica</w:t>
            </w:r>
            <w:proofErr w:type="spellEnd"/>
            <w:r w:rsidRPr="00AB4455">
              <w:rPr>
                <w:rFonts w:eastAsia="Calibri" w:cs="Times New Roman"/>
                <w:color w:val="FFFFFF" w:themeColor="background1"/>
                <w:sz w:val="16"/>
                <w:szCs w:val="16"/>
              </w:rPr>
              <w:t xml:space="preserve"> and FMI to couple requirement monitors to executable models to evaluate the systems’ compliance to requirements continuously during development. In addition, we will demonstrate the benefits of the tried and tested paradigm of “continuous integration” outside of its home turf of software development for model-based design. </w:t>
            </w:r>
          </w:p>
          <w:p w14:paraId="0D0AA7CC" w14:textId="77777777" w:rsidR="00AB4455" w:rsidRPr="00AB4455" w:rsidRDefault="00AB4455" w:rsidP="00AB4455">
            <w:pPr>
              <w:ind w:left="345" w:right="240"/>
              <w:rPr>
                <w:rFonts w:eastAsia="Calibri" w:cs="Times New Roman"/>
                <w:color w:val="FFFFFF" w:themeColor="background1"/>
                <w:sz w:val="16"/>
                <w:szCs w:val="16"/>
              </w:rPr>
            </w:pPr>
            <w:r w:rsidRPr="00AB4455">
              <w:rPr>
                <w:rFonts w:eastAsia="Calibri" w:cs="Times New Roman"/>
                <w:color w:val="FFFFFF" w:themeColor="background1"/>
                <w:sz w:val="16"/>
                <w:szCs w:val="16"/>
              </w:rPr>
              <w:t xml:space="preserve">We will look at a real-world example of design iterations with integrated executable requirements, and its pros and cons.  The physical system in this case is a Vehicle Thermal Management system (VTM) of a standard passenger car.  As a vehicle operates, its components generate heat that </w:t>
            </w:r>
            <w:proofErr w:type="gramStart"/>
            <w:r w:rsidRPr="00AB4455">
              <w:rPr>
                <w:rFonts w:eastAsia="Calibri" w:cs="Times New Roman"/>
                <w:color w:val="FFFFFF" w:themeColor="background1"/>
                <w:sz w:val="16"/>
                <w:szCs w:val="16"/>
              </w:rPr>
              <w:t>must be adequately directed</w:t>
            </w:r>
            <w:proofErr w:type="gramEnd"/>
            <w:r w:rsidRPr="00AB4455">
              <w:rPr>
                <w:rFonts w:eastAsia="Calibri" w:cs="Times New Roman"/>
                <w:color w:val="FFFFFF" w:themeColor="background1"/>
                <w:sz w:val="16"/>
                <w:szCs w:val="16"/>
              </w:rPr>
              <w:t xml:space="preserve"> to the ambient environment to prevent system damage.  In this example, the initial system contains a poorly designed controller that does not meet the system requirements as defined in Rhapsody and demonstrated through test cases of the </w:t>
            </w:r>
            <w:proofErr w:type="spellStart"/>
            <w:r w:rsidRPr="00AB4455">
              <w:rPr>
                <w:rFonts w:eastAsia="Calibri" w:cs="Times New Roman"/>
                <w:color w:val="FFFFFF" w:themeColor="background1"/>
                <w:sz w:val="16"/>
                <w:szCs w:val="16"/>
              </w:rPr>
              <w:t>Modelica</w:t>
            </w:r>
            <w:proofErr w:type="spellEnd"/>
            <w:r w:rsidRPr="00AB4455">
              <w:rPr>
                <w:rFonts w:eastAsia="Calibri" w:cs="Times New Roman"/>
                <w:color w:val="FFFFFF" w:themeColor="background1"/>
                <w:sz w:val="16"/>
                <w:szCs w:val="16"/>
              </w:rPr>
              <w:t xml:space="preserve"> model exported as FMUs.  </w:t>
            </w:r>
          </w:p>
          <w:p w14:paraId="6CD3FC59" w14:textId="77777777" w:rsidR="00AB4455" w:rsidRPr="00AB4455" w:rsidRDefault="00AB4455" w:rsidP="00AB4455">
            <w:pPr>
              <w:ind w:left="345" w:right="240"/>
              <w:rPr>
                <w:rFonts w:eastAsia="Calibri" w:cs="Times New Roman"/>
                <w:color w:val="FFFFFF" w:themeColor="background1"/>
                <w:sz w:val="16"/>
                <w:szCs w:val="16"/>
              </w:rPr>
            </w:pPr>
            <w:r w:rsidRPr="00AB4455">
              <w:rPr>
                <w:rFonts w:eastAsia="Calibri" w:cs="Times New Roman"/>
                <w:color w:val="FFFFFF" w:themeColor="background1"/>
                <w:sz w:val="16"/>
                <w:szCs w:val="16"/>
              </w:rPr>
              <w:t xml:space="preserve">The controller requirements </w:t>
            </w:r>
            <w:proofErr w:type="gramStart"/>
            <w:r w:rsidRPr="00AB4455">
              <w:rPr>
                <w:rFonts w:eastAsia="Calibri" w:cs="Times New Roman"/>
                <w:color w:val="FFFFFF" w:themeColor="background1"/>
                <w:sz w:val="16"/>
                <w:szCs w:val="16"/>
              </w:rPr>
              <w:t>are modeled</w:t>
            </w:r>
            <w:proofErr w:type="gramEnd"/>
            <w:r w:rsidRPr="00AB4455">
              <w:rPr>
                <w:rFonts w:eastAsia="Calibri" w:cs="Times New Roman"/>
                <w:color w:val="FFFFFF" w:themeColor="background1"/>
                <w:sz w:val="16"/>
                <w:szCs w:val="16"/>
              </w:rPr>
              <w:t xml:space="preserve"> as executable requirements, built from blocks of the </w:t>
            </w:r>
            <w:proofErr w:type="spellStart"/>
            <w:r w:rsidRPr="00AB4455">
              <w:rPr>
                <w:rFonts w:eastAsia="Calibri" w:cs="Times New Roman"/>
                <w:color w:val="FFFFFF" w:themeColor="background1"/>
                <w:sz w:val="16"/>
                <w:szCs w:val="16"/>
              </w:rPr>
              <w:t>Modelica_Requirements</w:t>
            </w:r>
            <w:proofErr w:type="spellEnd"/>
            <w:r w:rsidRPr="00AB4455">
              <w:rPr>
                <w:rFonts w:eastAsia="Calibri" w:cs="Times New Roman"/>
                <w:color w:val="FFFFFF" w:themeColor="background1"/>
                <w:sz w:val="16"/>
                <w:szCs w:val="16"/>
              </w:rPr>
              <w:t xml:space="preserve"> library, a result from the recently concluded MODRIO EU FP7 research project. The library </w:t>
            </w:r>
            <w:proofErr w:type="gramStart"/>
            <w:r w:rsidRPr="00AB4455">
              <w:rPr>
                <w:rFonts w:eastAsia="Calibri" w:cs="Times New Roman"/>
                <w:color w:val="FFFFFF" w:themeColor="background1"/>
                <w:sz w:val="16"/>
                <w:szCs w:val="16"/>
              </w:rPr>
              <w:t>is based</w:t>
            </w:r>
            <w:proofErr w:type="gramEnd"/>
            <w:r w:rsidRPr="00AB4455">
              <w:rPr>
                <w:rFonts w:eastAsia="Calibri" w:cs="Times New Roman"/>
                <w:color w:val="FFFFFF" w:themeColor="background1"/>
                <w:sz w:val="16"/>
                <w:szCs w:val="16"/>
              </w:rPr>
              <w:t xml:space="preserve"> on a three-valued logic for requirements with the values “True”, “False”, and “Undecided” for the case that pre-conditions or necessary for the requirement have not been tested in a given test. The executable requirements are then included in the system model and compliance to the requirements can thus be evaluated for all test scenarios.  </w:t>
            </w:r>
          </w:p>
          <w:p w14:paraId="1B84C7DD" w14:textId="77777777" w:rsidR="00AB4455" w:rsidRPr="00AB4455" w:rsidRDefault="00AB4455" w:rsidP="00AB4455">
            <w:pPr>
              <w:ind w:left="345" w:right="240"/>
              <w:rPr>
                <w:rFonts w:eastAsia="Calibri" w:cs="Times New Roman"/>
                <w:color w:val="FFFFFF" w:themeColor="background1"/>
                <w:sz w:val="16"/>
                <w:szCs w:val="16"/>
              </w:rPr>
            </w:pPr>
            <w:r w:rsidRPr="00AB4455">
              <w:rPr>
                <w:rFonts w:eastAsia="Calibri" w:cs="Times New Roman"/>
                <w:color w:val="FFFFFF" w:themeColor="background1"/>
                <w:sz w:val="16"/>
                <w:szCs w:val="16"/>
              </w:rPr>
              <w:t xml:space="preserve">An improved controller system </w:t>
            </w:r>
            <w:proofErr w:type="gramStart"/>
            <w:r w:rsidRPr="00AB4455">
              <w:rPr>
                <w:rFonts w:eastAsia="Calibri" w:cs="Times New Roman"/>
                <w:color w:val="FFFFFF" w:themeColor="background1"/>
                <w:sz w:val="16"/>
                <w:szCs w:val="16"/>
              </w:rPr>
              <w:t>is then designed and created</w:t>
            </w:r>
            <w:proofErr w:type="gramEnd"/>
            <w:r w:rsidRPr="00AB4455">
              <w:rPr>
                <w:rFonts w:eastAsia="Calibri" w:cs="Times New Roman"/>
                <w:color w:val="FFFFFF" w:themeColor="background1"/>
                <w:sz w:val="16"/>
                <w:szCs w:val="16"/>
              </w:rPr>
              <w:t xml:space="preserve">. Several test cases </w:t>
            </w:r>
            <w:proofErr w:type="gramStart"/>
            <w:r w:rsidRPr="00AB4455">
              <w:rPr>
                <w:rFonts w:eastAsia="Calibri" w:cs="Times New Roman"/>
                <w:color w:val="FFFFFF" w:themeColor="background1"/>
                <w:sz w:val="16"/>
                <w:szCs w:val="16"/>
              </w:rPr>
              <w:t>are then evaluated</w:t>
            </w:r>
            <w:proofErr w:type="gramEnd"/>
            <w:r w:rsidRPr="00AB4455">
              <w:rPr>
                <w:rFonts w:eastAsia="Calibri" w:cs="Times New Roman"/>
                <w:color w:val="FFFFFF" w:themeColor="background1"/>
                <w:sz w:val="16"/>
                <w:szCs w:val="16"/>
              </w:rPr>
              <w:t xml:space="preserve"> to demonstrate the improved controller meets the system requirements. The approach uses a newly developed </w:t>
            </w:r>
            <w:proofErr w:type="spellStart"/>
            <w:r w:rsidRPr="00AB4455">
              <w:rPr>
                <w:rFonts w:eastAsia="Calibri" w:cs="Times New Roman"/>
                <w:color w:val="FFFFFF" w:themeColor="background1"/>
                <w:sz w:val="16"/>
                <w:szCs w:val="16"/>
              </w:rPr>
              <w:t>Modelica</w:t>
            </w:r>
            <w:proofErr w:type="spellEnd"/>
            <w:r w:rsidRPr="00AB4455">
              <w:rPr>
                <w:rFonts w:eastAsia="Calibri" w:cs="Times New Roman"/>
                <w:color w:val="FFFFFF" w:themeColor="background1"/>
                <w:sz w:val="16"/>
                <w:szCs w:val="16"/>
              </w:rPr>
              <w:t xml:space="preserve"> Library to model executable requirements, which is under development in the European research project MODRIO. Because </w:t>
            </w:r>
            <w:proofErr w:type="spellStart"/>
            <w:r w:rsidRPr="00AB4455">
              <w:rPr>
                <w:rFonts w:eastAsia="Calibri" w:cs="Times New Roman"/>
                <w:color w:val="FFFFFF" w:themeColor="background1"/>
                <w:sz w:val="16"/>
                <w:szCs w:val="16"/>
              </w:rPr>
              <w:t>Modelica</w:t>
            </w:r>
            <w:proofErr w:type="spellEnd"/>
            <w:r w:rsidRPr="00AB4455">
              <w:rPr>
                <w:rFonts w:eastAsia="Calibri" w:cs="Times New Roman"/>
                <w:color w:val="FFFFFF" w:themeColor="background1"/>
                <w:sz w:val="16"/>
                <w:szCs w:val="16"/>
              </w:rPr>
              <w:t xml:space="preserve"> tools support export as FMUs, the executable requirements models </w:t>
            </w:r>
            <w:proofErr w:type="gramStart"/>
            <w:r w:rsidRPr="00AB4455">
              <w:rPr>
                <w:rFonts w:eastAsia="Calibri" w:cs="Times New Roman"/>
                <w:color w:val="FFFFFF" w:themeColor="background1"/>
                <w:sz w:val="16"/>
                <w:szCs w:val="16"/>
              </w:rPr>
              <w:t>can be imported</w:t>
            </w:r>
            <w:proofErr w:type="gramEnd"/>
            <w:r w:rsidRPr="00AB4455">
              <w:rPr>
                <w:rFonts w:eastAsia="Calibri" w:cs="Times New Roman"/>
                <w:color w:val="FFFFFF" w:themeColor="background1"/>
                <w:sz w:val="16"/>
                <w:szCs w:val="16"/>
              </w:rPr>
              <w:t xml:space="preserve"> into any FMI-compliant tool. The requirements compliance testing </w:t>
            </w:r>
            <w:proofErr w:type="gramStart"/>
            <w:r w:rsidRPr="00AB4455">
              <w:rPr>
                <w:rFonts w:eastAsia="Calibri" w:cs="Times New Roman"/>
                <w:color w:val="FFFFFF" w:themeColor="background1"/>
                <w:sz w:val="16"/>
                <w:szCs w:val="16"/>
              </w:rPr>
              <w:t>is integrated</w:t>
            </w:r>
            <w:proofErr w:type="gramEnd"/>
            <w:r w:rsidRPr="00AB4455">
              <w:rPr>
                <w:rFonts w:eastAsia="Calibri" w:cs="Times New Roman"/>
                <w:color w:val="FFFFFF" w:themeColor="background1"/>
                <w:sz w:val="16"/>
                <w:szCs w:val="16"/>
              </w:rPr>
              <w:t xml:space="preserve"> into a continuous integration tool that is specifically designed for Model Based Design. This allows for a high degree of automation in the process </w:t>
            </w:r>
          </w:p>
          <w:p w14:paraId="4FF4218E" w14:textId="77777777" w:rsidR="00AB4455" w:rsidRPr="00AB4455" w:rsidRDefault="00AB4455" w:rsidP="00AB4455">
            <w:pPr>
              <w:ind w:left="345" w:right="240"/>
              <w:rPr>
                <w:rFonts w:eastAsia="Calibri" w:cs="Times New Roman"/>
                <w:color w:val="FFFFFF" w:themeColor="background1"/>
                <w:sz w:val="16"/>
                <w:szCs w:val="16"/>
              </w:rPr>
            </w:pPr>
            <w:r w:rsidRPr="00AB4455">
              <w:rPr>
                <w:rFonts w:eastAsia="Calibri" w:cs="Times New Roman"/>
                <w:color w:val="FFFFFF" w:themeColor="background1"/>
                <w:sz w:val="16"/>
                <w:szCs w:val="16"/>
              </w:rPr>
              <w:t>Finally, we look at open issues in improving this somewhat ad-hoc way of integrating systems engineering with simulation analysis and point to open research questions.</w:t>
            </w:r>
          </w:p>
          <w:p w14:paraId="63E5CB57" w14:textId="5B5EDDEF" w:rsidR="00641198" w:rsidRPr="00AB4455" w:rsidRDefault="00AB4455" w:rsidP="00641198">
            <w:pPr>
              <w:ind w:left="345" w:right="240"/>
              <w:rPr>
                <w:b/>
                <w:color w:val="FFFFFF" w:themeColor="background1"/>
                <w:sz w:val="24"/>
                <w:szCs w:val="24"/>
              </w:rPr>
            </w:pPr>
            <w:r w:rsidRPr="00AB4455">
              <w:rPr>
                <w:b/>
                <w:color w:val="FFFFFF" w:themeColor="background1"/>
                <w:sz w:val="24"/>
                <w:szCs w:val="24"/>
              </w:rPr>
              <w:t>Hubertus Tummescheit</w:t>
            </w:r>
          </w:p>
          <w:p w14:paraId="34422E13" w14:textId="113F2F70" w:rsidR="00AB4455" w:rsidRPr="00AB4455" w:rsidRDefault="00AB4455" w:rsidP="00AB4455">
            <w:pPr>
              <w:ind w:left="346" w:right="245"/>
              <w:rPr>
                <w:bCs/>
                <w:color w:val="FFFFFF"/>
                <w:sz w:val="16"/>
                <w:szCs w:val="16"/>
              </w:rPr>
            </w:pPr>
            <w:r w:rsidRPr="00AB4455">
              <w:rPr>
                <w:b/>
                <w:bCs/>
                <w:color w:val="FFFFFF"/>
                <w:sz w:val="16"/>
                <w:szCs w:val="16"/>
              </w:rPr>
              <w:t>Dr. Tummescheit</w:t>
            </w:r>
            <w:r w:rsidRPr="00AB4455">
              <w:rPr>
                <w:bCs/>
                <w:color w:val="FFFFFF"/>
                <w:sz w:val="16"/>
                <w:szCs w:val="16"/>
              </w:rPr>
              <w:t xml:space="preserve"> is the Chief Solutions Officer of </w:t>
            </w:r>
            <w:proofErr w:type="spellStart"/>
            <w:r w:rsidRPr="00AB4455">
              <w:rPr>
                <w:bCs/>
                <w:color w:val="FFFFFF"/>
                <w:sz w:val="16"/>
                <w:szCs w:val="16"/>
              </w:rPr>
              <w:t>Modelon</w:t>
            </w:r>
            <w:proofErr w:type="spellEnd"/>
            <w:r w:rsidRPr="00AB4455">
              <w:rPr>
                <w:bCs/>
                <w:color w:val="FFFFFF"/>
                <w:sz w:val="16"/>
                <w:szCs w:val="16"/>
              </w:rPr>
              <w:t xml:space="preserve">, President of </w:t>
            </w:r>
            <w:proofErr w:type="spellStart"/>
            <w:r w:rsidRPr="00AB4455">
              <w:rPr>
                <w:bCs/>
                <w:color w:val="FFFFFF"/>
                <w:sz w:val="16"/>
                <w:szCs w:val="16"/>
              </w:rPr>
              <w:t>Modelon</w:t>
            </w:r>
            <w:proofErr w:type="spellEnd"/>
            <w:r w:rsidRPr="00AB4455">
              <w:rPr>
                <w:bCs/>
                <w:color w:val="FFFFFF"/>
                <w:sz w:val="16"/>
                <w:szCs w:val="16"/>
              </w:rPr>
              <w:t xml:space="preserve"> Inc., and one of the founders of </w:t>
            </w:r>
            <w:proofErr w:type="spellStart"/>
            <w:r w:rsidRPr="00AB4455">
              <w:rPr>
                <w:bCs/>
                <w:color w:val="FFFFFF"/>
                <w:sz w:val="16"/>
                <w:szCs w:val="16"/>
              </w:rPr>
              <w:t>Modelon</w:t>
            </w:r>
            <w:proofErr w:type="spellEnd"/>
            <w:r w:rsidRPr="00AB4455">
              <w:rPr>
                <w:bCs/>
                <w:color w:val="FFFFFF"/>
                <w:sz w:val="16"/>
                <w:szCs w:val="16"/>
              </w:rPr>
              <w:t xml:space="preserve">. </w:t>
            </w:r>
            <w:r>
              <w:rPr>
                <w:bCs/>
                <w:color w:val="FFFFFF"/>
                <w:sz w:val="16"/>
                <w:szCs w:val="16"/>
              </w:rPr>
              <w:t xml:space="preserve"> </w:t>
            </w:r>
            <w:r w:rsidRPr="00AB4455">
              <w:rPr>
                <w:bCs/>
                <w:color w:val="FFFFFF"/>
                <w:sz w:val="16"/>
                <w:szCs w:val="16"/>
              </w:rPr>
              <w:t>Dr. Tummescheit received his MSc in Mechanical Engineering from the Technical University of Hamburg-</w:t>
            </w:r>
            <w:proofErr w:type="spellStart"/>
            <w:r w:rsidRPr="00AB4455">
              <w:rPr>
                <w:bCs/>
                <w:color w:val="FFFFFF"/>
                <w:sz w:val="16"/>
                <w:szCs w:val="16"/>
              </w:rPr>
              <w:t>Harburg</w:t>
            </w:r>
            <w:proofErr w:type="spellEnd"/>
            <w:r w:rsidRPr="00AB4455">
              <w:rPr>
                <w:bCs/>
                <w:color w:val="FFFFFF"/>
                <w:sz w:val="16"/>
                <w:szCs w:val="16"/>
              </w:rPr>
              <w:t xml:space="preserve">, Germany in 1996, and his PhD in Automatic Control from the University of Lund, Sweden in 2002. </w:t>
            </w:r>
            <w:r>
              <w:rPr>
                <w:bCs/>
                <w:color w:val="FFFFFF"/>
                <w:sz w:val="16"/>
                <w:szCs w:val="16"/>
              </w:rPr>
              <w:t xml:space="preserve"> </w:t>
            </w:r>
            <w:r w:rsidRPr="00AB4455">
              <w:rPr>
                <w:bCs/>
                <w:color w:val="FFFFFF"/>
                <w:sz w:val="16"/>
                <w:szCs w:val="16"/>
              </w:rPr>
              <w:t xml:space="preserve">He has been involved in the Design of the </w:t>
            </w:r>
            <w:proofErr w:type="spellStart"/>
            <w:r w:rsidRPr="00AB4455">
              <w:rPr>
                <w:bCs/>
                <w:color w:val="FFFFFF"/>
                <w:sz w:val="16"/>
                <w:szCs w:val="16"/>
              </w:rPr>
              <w:t>Modelica</w:t>
            </w:r>
            <w:proofErr w:type="spellEnd"/>
            <w:r w:rsidRPr="00AB4455">
              <w:rPr>
                <w:bCs/>
                <w:color w:val="FFFFFF"/>
                <w:sz w:val="16"/>
                <w:szCs w:val="16"/>
              </w:rPr>
              <w:t xml:space="preserve"> language from the beginning and is the developer of a number of open source and commercial </w:t>
            </w:r>
            <w:proofErr w:type="spellStart"/>
            <w:r w:rsidRPr="00AB4455">
              <w:rPr>
                <w:bCs/>
                <w:color w:val="FFFFFF"/>
                <w:sz w:val="16"/>
                <w:szCs w:val="16"/>
              </w:rPr>
              <w:t>Modelica</w:t>
            </w:r>
            <w:proofErr w:type="spellEnd"/>
            <w:r w:rsidRPr="00AB4455">
              <w:rPr>
                <w:bCs/>
                <w:color w:val="FFFFFF"/>
                <w:sz w:val="16"/>
                <w:szCs w:val="16"/>
              </w:rPr>
              <w:t xml:space="preserve"> Libraries in the energy and HVAC domains. In </w:t>
            </w:r>
            <w:proofErr w:type="gramStart"/>
            <w:r w:rsidRPr="00AB4455">
              <w:rPr>
                <w:bCs/>
                <w:color w:val="FFFFFF"/>
                <w:sz w:val="16"/>
                <w:szCs w:val="16"/>
              </w:rPr>
              <w:t>2003</w:t>
            </w:r>
            <w:proofErr w:type="gramEnd"/>
            <w:r w:rsidRPr="00AB4455">
              <w:rPr>
                <w:bCs/>
                <w:color w:val="FFFFFF"/>
                <w:sz w:val="16"/>
                <w:szCs w:val="16"/>
              </w:rPr>
              <w:t xml:space="preserve"> he worked as a research scientist at United Technologies Research Center and returned to Sweden in 2004 to start </w:t>
            </w:r>
            <w:proofErr w:type="spellStart"/>
            <w:r w:rsidRPr="00AB4455">
              <w:rPr>
                <w:bCs/>
                <w:color w:val="FFFFFF"/>
                <w:sz w:val="16"/>
                <w:szCs w:val="16"/>
              </w:rPr>
              <w:t>Modelon</w:t>
            </w:r>
            <w:proofErr w:type="spellEnd"/>
            <w:r w:rsidRPr="00AB4455">
              <w:rPr>
                <w:bCs/>
                <w:color w:val="FFFFFF"/>
                <w:sz w:val="16"/>
                <w:szCs w:val="16"/>
              </w:rPr>
              <w:t xml:space="preserve"> AB, the first company fully dedicated to tools and services based on </w:t>
            </w:r>
            <w:proofErr w:type="spellStart"/>
            <w:r w:rsidRPr="00AB4455">
              <w:rPr>
                <w:bCs/>
                <w:color w:val="FFFFFF"/>
                <w:sz w:val="16"/>
                <w:szCs w:val="16"/>
              </w:rPr>
              <w:t>Modelica</w:t>
            </w:r>
            <w:proofErr w:type="spellEnd"/>
            <w:r w:rsidRPr="00AB4455">
              <w:rPr>
                <w:bCs/>
                <w:color w:val="FFFFFF"/>
                <w:sz w:val="16"/>
                <w:szCs w:val="16"/>
              </w:rPr>
              <w:t xml:space="preserve"> and FMI. Dr. Tummescheit is also a member of the board of the </w:t>
            </w:r>
            <w:proofErr w:type="spellStart"/>
            <w:r w:rsidRPr="00AB4455">
              <w:rPr>
                <w:bCs/>
                <w:color w:val="FFFFFF"/>
                <w:sz w:val="16"/>
                <w:szCs w:val="16"/>
              </w:rPr>
              <w:t>Modelica</w:t>
            </w:r>
            <w:proofErr w:type="spellEnd"/>
            <w:r w:rsidRPr="00AB4455">
              <w:rPr>
                <w:bCs/>
                <w:color w:val="FFFFFF"/>
                <w:sz w:val="16"/>
                <w:szCs w:val="16"/>
              </w:rPr>
              <w:t xml:space="preserve"> Association, and of the FMI steering committee, and active in the future development of both standards.  </w:t>
            </w:r>
          </w:p>
          <w:p w14:paraId="69EE5FBF" w14:textId="77777777" w:rsidR="00AB4455" w:rsidRPr="00AB4455" w:rsidRDefault="00AB4455" w:rsidP="00AB4455">
            <w:pPr>
              <w:ind w:left="346" w:right="245"/>
              <w:rPr>
                <w:bCs/>
                <w:color w:val="FFFFFF"/>
                <w:sz w:val="16"/>
                <w:szCs w:val="16"/>
              </w:rPr>
            </w:pPr>
            <w:r w:rsidRPr="00AB4455">
              <w:rPr>
                <w:bCs/>
                <w:color w:val="FFFFFF"/>
                <w:sz w:val="16"/>
                <w:szCs w:val="16"/>
              </w:rPr>
              <w:t xml:space="preserve">Dr. Tummescheit has served as the CEO of </w:t>
            </w:r>
            <w:proofErr w:type="spellStart"/>
            <w:r w:rsidRPr="00AB4455">
              <w:rPr>
                <w:bCs/>
                <w:color w:val="FFFFFF"/>
                <w:sz w:val="16"/>
                <w:szCs w:val="16"/>
              </w:rPr>
              <w:t>Modelon</w:t>
            </w:r>
            <w:proofErr w:type="spellEnd"/>
            <w:r w:rsidRPr="00AB4455">
              <w:rPr>
                <w:bCs/>
                <w:color w:val="FFFFFF"/>
                <w:sz w:val="16"/>
                <w:szCs w:val="16"/>
              </w:rPr>
              <w:t xml:space="preserve"> AB from 2004 to 2012 and moved to Hartford, Connecticut in 2013 to establish </w:t>
            </w:r>
            <w:proofErr w:type="spellStart"/>
            <w:r w:rsidRPr="00AB4455">
              <w:rPr>
                <w:bCs/>
                <w:color w:val="FFFFFF"/>
                <w:sz w:val="16"/>
                <w:szCs w:val="16"/>
              </w:rPr>
              <w:t>Modelon</w:t>
            </w:r>
            <w:proofErr w:type="spellEnd"/>
            <w:r w:rsidRPr="00AB4455">
              <w:rPr>
                <w:bCs/>
                <w:color w:val="FFFFFF"/>
                <w:sz w:val="16"/>
                <w:szCs w:val="16"/>
              </w:rPr>
              <w:t xml:space="preserve"> as a leading force of innovation in system simulation in the US.   </w:t>
            </w:r>
          </w:p>
          <w:p w14:paraId="56F89BC8" w14:textId="77777777" w:rsidR="008E24CF" w:rsidRPr="008E24CF" w:rsidRDefault="008E24CF" w:rsidP="00AB4455">
            <w:pPr>
              <w:ind w:left="346" w:right="245"/>
              <w:rPr>
                <w:bCs/>
                <w:color w:val="FFFFFF"/>
                <w:sz w:val="18"/>
                <w:szCs w:val="18"/>
              </w:rPr>
            </w:pPr>
          </w:p>
        </w:tc>
        <w:tc>
          <w:tcPr>
            <w:tcW w:w="288" w:type="dxa"/>
            <w:vMerge w:val="restart"/>
          </w:tcPr>
          <w:p w14:paraId="1A7D37E7" w14:textId="77777777" w:rsidR="008E24CF" w:rsidRPr="008E24CF" w:rsidRDefault="008E24CF" w:rsidP="008E24CF"/>
        </w:tc>
        <w:tc>
          <w:tcPr>
            <w:tcW w:w="2821" w:type="dxa"/>
            <w:gridSpan w:val="3"/>
            <w:shd w:val="clear" w:color="auto" w:fill="002060"/>
          </w:tcPr>
          <w:p w14:paraId="50D66724" w14:textId="77777777" w:rsidR="008E24CF" w:rsidRPr="008E24CF" w:rsidRDefault="008E24CF" w:rsidP="008E24CF">
            <w:pPr>
              <w:rPr>
                <w:color w:val="FFFFFF"/>
                <w:sz w:val="20"/>
                <w:szCs w:val="20"/>
              </w:rPr>
            </w:pPr>
          </w:p>
          <w:p w14:paraId="4C3FC232" w14:textId="77777777" w:rsidR="008E24CF" w:rsidRPr="008E24CF" w:rsidRDefault="008E24CF" w:rsidP="008E24CF">
            <w:pPr>
              <w:rPr>
                <w:color w:val="FFFFFF"/>
                <w:sz w:val="28"/>
                <w:szCs w:val="28"/>
              </w:rPr>
            </w:pPr>
            <w:r w:rsidRPr="008E24CF">
              <w:rPr>
                <w:color w:val="FFFFFF"/>
                <w:sz w:val="28"/>
                <w:szCs w:val="28"/>
              </w:rPr>
              <w:t>Upcoming</w:t>
            </w:r>
            <w:r w:rsidRPr="008E24CF">
              <w:rPr>
                <w:color w:val="FFFFFF"/>
                <w:sz w:val="28"/>
                <w:szCs w:val="28"/>
              </w:rPr>
              <w:br/>
              <w:t>Distinguished Lectures</w:t>
            </w:r>
          </w:p>
          <w:p w14:paraId="4509C424" w14:textId="77777777" w:rsidR="008E24CF" w:rsidRPr="008E24CF" w:rsidRDefault="008E24CF" w:rsidP="008E24CF">
            <w:pPr>
              <w:rPr>
                <w:color w:val="FFFFFF"/>
                <w:sz w:val="20"/>
              </w:rPr>
            </w:pPr>
          </w:p>
          <w:p w14:paraId="22B679F6" w14:textId="52845D8D" w:rsidR="008E24CF" w:rsidRPr="008E24CF" w:rsidRDefault="00AB4455" w:rsidP="00AB4455">
            <w:pPr>
              <w:rPr>
                <w:color w:val="FFFFFF"/>
              </w:rPr>
            </w:pPr>
            <w:r>
              <w:rPr>
                <w:color w:val="FFFFFF"/>
              </w:rPr>
              <w:t>Hod Lipson</w:t>
            </w:r>
            <w:r w:rsidR="00F3676A">
              <w:rPr>
                <w:color w:val="FFFFFF"/>
              </w:rPr>
              <w:t>, Columbia University</w:t>
            </w:r>
            <w:r w:rsidR="00641198">
              <w:rPr>
                <w:color w:val="FFFFFF"/>
              </w:rPr>
              <w:br/>
            </w:r>
            <w:r w:rsidR="00F3676A" w:rsidRPr="00F3676A">
              <w:rPr>
                <w:b/>
                <w:color w:val="FFFFFF"/>
              </w:rPr>
              <w:t>Curious and Creative Machines</w:t>
            </w:r>
            <w:r w:rsidR="00641198">
              <w:rPr>
                <w:color w:val="FFFFFF"/>
              </w:rPr>
              <w:br/>
            </w:r>
            <w:r>
              <w:rPr>
                <w:color w:val="FFFFFF"/>
              </w:rPr>
              <w:t>November 5</w:t>
            </w:r>
            <w:r w:rsidR="00641198">
              <w:rPr>
                <w:color w:val="FFFFFF"/>
              </w:rPr>
              <w:t>, 2018</w:t>
            </w:r>
          </w:p>
        </w:tc>
      </w:tr>
      <w:tr w:rsidR="008E24CF" w:rsidRPr="008E24CF" w14:paraId="58EF7DD8" w14:textId="77777777" w:rsidTr="00641198">
        <w:tc>
          <w:tcPr>
            <w:tcW w:w="0" w:type="auto"/>
            <w:gridSpan w:val="2"/>
            <w:vMerge/>
            <w:vAlign w:val="center"/>
            <w:hideMark/>
          </w:tcPr>
          <w:p w14:paraId="1C1C281C" w14:textId="77777777" w:rsidR="008E24CF" w:rsidRPr="008E24CF" w:rsidRDefault="008E24CF" w:rsidP="008E24CF"/>
        </w:tc>
        <w:tc>
          <w:tcPr>
            <w:tcW w:w="0" w:type="auto"/>
            <w:vMerge/>
            <w:vAlign w:val="center"/>
            <w:hideMark/>
          </w:tcPr>
          <w:p w14:paraId="7F3B853F" w14:textId="77777777" w:rsidR="008E24CF" w:rsidRPr="008E24CF" w:rsidRDefault="008E24CF" w:rsidP="008E24CF"/>
        </w:tc>
        <w:tc>
          <w:tcPr>
            <w:tcW w:w="2821" w:type="dxa"/>
            <w:gridSpan w:val="3"/>
          </w:tcPr>
          <w:p w14:paraId="2973C23E" w14:textId="77777777" w:rsidR="008E24CF" w:rsidRPr="008E24CF" w:rsidRDefault="008E24CF" w:rsidP="008E24CF"/>
        </w:tc>
      </w:tr>
      <w:tr w:rsidR="008E24CF" w:rsidRPr="008E24CF" w14:paraId="50F76F5A" w14:textId="77777777" w:rsidTr="00641198">
        <w:trPr>
          <w:trHeight w:val="3563"/>
        </w:trPr>
        <w:tc>
          <w:tcPr>
            <w:tcW w:w="0" w:type="auto"/>
            <w:gridSpan w:val="2"/>
            <w:vMerge/>
            <w:vAlign w:val="center"/>
            <w:hideMark/>
          </w:tcPr>
          <w:p w14:paraId="76BB9F95" w14:textId="77777777" w:rsidR="008E24CF" w:rsidRPr="008E24CF" w:rsidRDefault="008E24CF" w:rsidP="008E24CF"/>
        </w:tc>
        <w:tc>
          <w:tcPr>
            <w:tcW w:w="0" w:type="auto"/>
            <w:vMerge/>
            <w:vAlign w:val="center"/>
            <w:hideMark/>
          </w:tcPr>
          <w:p w14:paraId="16E60859" w14:textId="77777777" w:rsidR="008E24CF" w:rsidRPr="008E24CF" w:rsidRDefault="008E24CF" w:rsidP="008E24CF"/>
        </w:tc>
        <w:tc>
          <w:tcPr>
            <w:tcW w:w="2821" w:type="dxa"/>
            <w:gridSpan w:val="3"/>
            <w:shd w:val="clear" w:color="auto" w:fill="8496B0"/>
          </w:tcPr>
          <w:p w14:paraId="11DB037E" w14:textId="77777777" w:rsidR="008E24CF" w:rsidRPr="008E24CF" w:rsidRDefault="008E24CF" w:rsidP="008E24CF">
            <w:pPr>
              <w:rPr>
                <w:color w:val="FFFFFF"/>
                <w:sz w:val="28"/>
                <w:szCs w:val="28"/>
              </w:rPr>
            </w:pPr>
            <w:r w:rsidRPr="008E24CF">
              <w:rPr>
                <w:color w:val="FFFFFF"/>
                <w:sz w:val="28"/>
                <w:szCs w:val="28"/>
              </w:rPr>
              <w:t>Upcoming Seminars</w:t>
            </w:r>
          </w:p>
          <w:p w14:paraId="597D76D7" w14:textId="7A7798E2" w:rsidR="00F3676A" w:rsidRPr="00F3676A" w:rsidRDefault="00144200" w:rsidP="00641198">
            <w:pPr>
              <w:rPr>
                <w:color w:val="FFFFFF"/>
                <w:sz w:val="20"/>
                <w:szCs w:val="20"/>
              </w:rPr>
            </w:pPr>
            <w:r w:rsidRPr="00F3676A">
              <w:rPr>
                <w:color w:val="FFFFFF"/>
                <w:sz w:val="20"/>
                <w:szCs w:val="20"/>
              </w:rPr>
              <w:t xml:space="preserve">Santosh </w:t>
            </w:r>
            <w:proofErr w:type="spellStart"/>
            <w:r w:rsidRPr="00F3676A">
              <w:rPr>
                <w:color w:val="FFFFFF"/>
                <w:sz w:val="20"/>
                <w:szCs w:val="20"/>
              </w:rPr>
              <w:t>Devasia</w:t>
            </w:r>
            <w:proofErr w:type="spellEnd"/>
            <w:r w:rsidR="00641198" w:rsidRPr="00F3676A">
              <w:rPr>
                <w:color w:val="FFFFFF"/>
                <w:sz w:val="20"/>
                <w:szCs w:val="20"/>
              </w:rPr>
              <w:t>,</w:t>
            </w:r>
            <w:r w:rsidR="00641198" w:rsidRPr="00F3676A">
              <w:rPr>
                <w:color w:val="FFFFFF"/>
                <w:sz w:val="20"/>
                <w:szCs w:val="20"/>
              </w:rPr>
              <w:br/>
            </w:r>
            <w:r w:rsidR="00F3676A" w:rsidRPr="00F3676A">
              <w:rPr>
                <w:color w:val="FFFFFF"/>
                <w:sz w:val="20"/>
                <w:szCs w:val="20"/>
              </w:rPr>
              <w:t>University of Washington</w:t>
            </w:r>
            <w:r w:rsidR="00641198" w:rsidRPr="00F3676A">
              <w:rPr>
                <w:color w:val="FFFFFF"/>
                <w:sz w:val="20"/>
                <w:szCs w:val="20"/>
              </w:rPr>
              <w:t>,</w:t>
            </w:r>
          </w:p>
          <w:p w14:paraId="1A21C55A" w14:textId="2E90DE87" w:rsidR="00641198" w:rsidRPr="00F3676A" w:rsidRDefault="00F3676A" w:rsidP="00641198">
            <w:pPr>
              <w:rPr>
                <w:color w:val="FFFFFF"/>
                <w:sz w:val="20"/>
                <w:szCs w:val="20"/>
              </w:rPr>
            </w:pPr>
            <w:r w:rsidRPr="00F3676A">
              <w:rPr>
                <w:b/>
                <w:color w:val="FFFFFF"/>
                <w:sz w:val="20"/>
                <w:szCs w:val="20"/>
              </w:rPr>
              <w:t>Synchronized Networks using Delayed Self-Reinforcement</w:t>
            </w:r>
            <w:r w:rsidR="00641198" w:rsidRPr="00F3676A">
              <w:rPr>
                <w:color w:val="FFFFFF"/>
                <w:sz w:val="20"/>
                <w:szCs w:val="20"/>
              </w:rPr>
              <w:br/>
            </w:r>
            <w:r w:rsidR="00144200" w:rsidRPr="00F3676A">
              <w:rPr>
                <w:color w:val="FFFFFF"/>
                <w:sz w:val="20"/>
                <w:szCs w:val="20"/>
              </w:rPr>
              <w:t>October 22</w:t>
            </w:r>
            <w:r w:rsidR="00641198" w:rsidRPr="00F3676A">
              <w:rPr>
                <w:color w:val="FFFFFF"/>
                <w:sz w:val="20"/>
                <w:szCs w:val="20"/>
              </w:rPr>
              <w:t>, 2018</w:t>
            </w:r>
          </w:p>
          <w:p w14:paraId="1C9CD99A" w14:textId="77777777" w:rsidR="00641198" w:rsidRPr="00641198" w:rsidRDefault="00641198" w:rsidP="00641198">
            <w:pPr>
              <w:rPr>
                <w:color w:val="FFFFFF"/>
                <w:sz w:val="20"/>
                <w:szCs w:val="28"/>
              </w:rPr>
            </w:pPr>
          </w:p>
          <w:p w14:paraId="48549C7F" w14:textId="2CF49715" w:rsidR="00641198" w:rsidRPr="00F3676A" w:rsidRDefault="00144200" w:rsidP="00641198">
            <w:pPr>
              <w:rPr>
                <w:color w:val="FFFFFF"/>
                <w:sz w:val="20"/>
                <w:szCs w:val="20"/>
              </w:rPr>
            </w:pPr>
            <w:proofErr w:type="spellStart"/>
            <w:r w:rsidRPr="00F3676A">
              <w:rPr>
                <w:color w:val="FFFFFF"/>
                <w:sz w:val="20"/>
                <w:szCs w:val="20"/>
              </w:rPr>
              <w:t>Hamsa</w:t>
            </w:r>
            <w:proofErr w:type="spellEnd"/>
            <w:r w:rsidRPr="00F3676A">
              <w:rPr>
                <w:color w:val="FFFFFF"/>
                <w:sz w:val="20"/>
                <w:szCs w:val="20"/>
              </w:rPr>
              <w:t xml:space="preserve"> </w:t>
            </w:r>
            <w:proofErr w:type="spellStart"/>
            <w:r w:rsidRPr="00F3676A">
              <w:rPr>
                <w:color w:val="FFFFFF"/>
                <w:sz w:val="20"/>
                <w:szCs w:val="20"/>
              </w:rPr>
              <w:t>Balakrishnan</w:t>
            </w:r>
            <w:proofErr w:type="spellEnd"/>
            <w:r w:rsidR="00641198" w:rsidRPr="00F3676A">
              <w:rPr>
                <w:color w:val="FFFFFF"/>
                <w:sz w:val="20"/>
                <w:szCs w:val="20"/>
              </w:rPr>
              <w:t>,</w:t>
            </w:r>
            <w:r w:rsidR="00641198" w:rsidRPr="00F3676A">
              <w:rPr>
                <w:color w:val="FFFFFF"/>
                <w:sz w:val="20"/>
                <w:szCs w:val="20"/>
              </w:rPr>
              <w:br/>
            </w:r>
            <w:r w:rsidR="00F3676A" w:rsidRPr="00F3676A">
              <w:rPr>
                <w:color w:val="FFFFFF"/>
                <w:sz w:val="20"/>
                <w:szCs w:val="20"/>
              </w:rPr>
              <w:t>Massachusetts Institute of Technology</w:t>
            </w:r>
            <w:r w:rsidR="00641198" w:rsidRPr="00F3676A">
              <w:rPr>
                <w:color w:val="FFFFFF"/>
                <w:sz w:val="20"/>
                <w:szCs w:val="20"/>
              </w:rPr>
              <w:t xml:space="preserve"> </w:t>
            </w:r>
            <w:r w:rsidR="00641198" w:rsidRPr="00F3676A">
              <w:rPr>
                <w:color w:val="FFFFFF"/>
                <w:sz w:val="20"/>
                <w:szCs w:val="20"/>
              </w:rPr>
              <w:br/>
            </w:r>
            <w:r w:rsidRPr="00F3676A">
              <w:rPr>
                <w:color w:val="FFFFFF"/>
                <w:sz w:val="20"/>
                <w:szCs w:val="20"/>
              </w:rPr>
              <w:t>November 12, 2018</w:t>
            </w:r>
          </w:p>
          <w:p w14:paraId="71048CC6" w14:textId="77777777" w:rsidR="00641198" w:rsidRDefault="00641198" w:rsidP="00641198">
            <w:pPr>
              <w:rPr>
                <w:color w:val="FFFFFF"/>
                <w:sz w:val="20"/>
                <w:szCs w:val="20"/>
              </w:rPr>
            </w:pPr>
          </w:p>
          <w:p w14:paraId="58EB2BAD" w14:textId="77777777" w:rsidR="008E24CF" w:rsidRPr="008E24CF" w:rsidRDefault="008E24CF" w:rsidP="00144200">
            <w:pPr>
              <w:rPr>
                <w:color w:val="FFFFFF"/>
                <w:sz w:val="17"/>
                <w:szCs w:val="17"/>
              </w:rPr>
            </w:pPr>
          </w:p>
        </w:tc>
      </w:tr>
      <w:tr w:rsidR="008E24CF" w:rsidRPr="008E24CF" w14:paraId="2944AA10" w14:textId="77777777" w:rsidTr="00641198">
        <w:tc>
          <w:tcPr>
            <w:tcW w:w="0" w:type="auto"/>
            <w:gridSpan w:val="2"/>
            <w:vMerge/>
            <w:vAlign w:val="center"/>
            <w:hideMark/>
          </w:tcPr>
          <w:p w14:paraId="3F77B1ED" w14:textId="77777777" w:rsidR="008E24CF" w:rsidRPr="008E24CF" w:rsidRDefault="008E24CF" w:rsidP="008E24CF"/>
        </w:tc>
        <w:tc>
          <w:tcPr>
            <w:tcW w:w="0" w:type="auto"/>
            <w:vMerge/>
            <w:vAlign w:val="center"/>
            <w:hideMark/>
          </w:tcPr>
          <w:p w14:paraId="6DF1AFF4" w14:textId="77777777" w:rsidR="008E24CF" w:rsidRPr="008E24CF" w:rsidRDefault="008E24CF" w:rsidP="008E24CF"/>
        </w:tc>
        <w:tc>
          <w:tcPr>
            <w:tcW w:w="2821" w:type="dxa"/>
            <w:gridSpan w:val="3"/>
          </w:tcPr>
          <w:p w14:paraId="6BF82231" w14:textId="77777777" w:rsidR="008E24CF" w:rsidRPr="008E24CF" w:rsidRDefault="008E24CF" w:rsidP="008E24CF"/>
        </w:tc>
      </w:tr>
      <w:tr w:rsidR="008E24CF" w:rsidRPr="008E24CF" w14:paraId="7F983CCA" w14:textId="77777777" w:rsidTr="00641198">
        <w:trPr>
          <w:trHeight w:val="1845"/>
        </w:trPr>
        <w:tc>
          <w:tcPr>
            <w:tcW w:w="0" w:type="auto"/>
            <w:gridSpan w:val="2"/>
            <w:vMerge/>
            <w:vAlign w:val="center"/>
            <w:hideMark/>
          </w:tcPr>
          <w:p w14:paraId="4A3CEFD1" w14:textId="77777777" w:rsidR="008E24CF" w:rsidRPr="008E24CF" w:rsidRDefault="008E24CF" w:rsidP="008E24CF"/>
        </w:tc>
        <w:tc>
          <w:tcPr>
            <w:tcW w:w="0" w:type="auto"/>
            <w:vMerge/>
            <w:vAlign w:val="center"/>
            <w:hideMark/>
          </w:tcPr>
          <w:p w14:paraId="1EC9141F" w14:textId="77777777" w:rsidR="008E24CF" w:rsidRPr="008E24CF" w:rsidRDefault="008E24CF" w:rsidP="008E24CF"/>
        </w:tc>
        <w:tc>
          <w:tcPr>
            <w:tcW w:w="2821" w:type="dxa"/>
            <w:gridSpan w:val="3"/>
            <w:shd w:val="clear" w:color="auto" w:fill="015097"/>
            <w:hideMark/>
          </w:tcPr>
          <w:p w14:paraId="2315B205" w14:textId="77777777" w:rsidR="00641198" w:rsidRDefault="00641198" w:rsidP="008E24CF">
            <w:pPr>
              <w:rPr>
                <w:b/>
                <w:color w:val="FFFFFF"/>
                <w:sz w:val="20"/>
                <w:szCs w:val="20"/>
              </w:rPr>
            </w:pPr>
          </w:p>
          <w:p w14:paraId="125B2B9B" w14:textId="77777777" w:rsidR="008E24CF" w:rsidRPr="008E24CF" w:rsidRDefault="008E24CF" w:rsidP="008E24CF">
            <w:pPr>
              <w:rPr>
                <w:color w:val="1F4E79"/>
                <w:sz w:val="18"/>
                <w:szCs w:val="18"/>
              </w:rPr>
            </w:pPr>
            <w:r w:rsidRPr="008E24CF">
              <w:rPr>
                <w:b/>
                <w:color w:val="FFFFFF"/>
                <w:sz w:val="20"/>
                <w:szCs w:val="20"/>
              </w:rPr>
              <w:t>Website</w:t>
            </w:r>
            <w:r w:rsidRPr="008E24CF">
              <w:rPr>
                <w:color w:val="FFFFFF"/>
                <w:sz w:val="20"/>
                <w:szCs w:val="20"/>
              </w:rPr>
              <w:t>:</w:t>
            </w:r>
            <w:r w:rsidRPr="008E24CF">
              <w:rPr>
                <w:color w:val="FFFFFF"/>
                <w:sz w:val="18"/>
                <w:szCs w:val="18"/>
              </w:rPr>
              <w:br/>
            </w:r>
            <w:hyperlink r:id="rId4" w:history="1">
              <w:r w:rsidRPr="008E24CF">
                <w:rPr>
                  <w:color w:val="FFFFFF"/>
                  <w:sz w:val="18"/>
                  <w:szCs w:val="18"/>
                  <w:u w:val="single"/>
                </w:rPr>
                <w:t>www.utc-iase.uconn.edu</w:t>
              </w:r>
            </w:hyperlink>
          </w:p>
          <w:p w14:paraId="4EA49F37" w14:textId="77777777" w:rsidR="008E24CF" w:rsidRPr="008E24CF" w:rsidRDefault="008E24CF" w:rsidP="008E24CF">
            <w:pPr>
              <w:rPr>
                <w:color w:val="FFFFFF"/>
                <w:sz w:val="18"/>
                <w:szCs w:val="18"/>
              </w:rPr>
            </w:pPr>
            <w:r w:rsidRPr="008E24CF">
              <w:rPr>
                <w:b/>
                <w:color w:val="FFFFFF"/>
                <w:sz w:val="20"/>
                <w:szCs w:val="20"/>
              </w:rPr>
              <w:t>Email</w:t>
            </w:r>
            <w:r w:rsidRPr="008E24CF">
              <w:rPr>
                <w:color w:val="FFFFFF"/>
                <w:sz w:val="20"/>
                <w:szCs w:val="20"/>
              </w:rPr>
              <w:t>:</w:t>
            </w:r>
            <w:r w:rsidRPr="008E24CF">
              <w:rPr>
                <w:color w:val="FFFFFF"/>
                <w:sz w:val="18"/>
                <w:szCs w:val="18"/>
              </w:rPr>
              <w:br/>
            </w:r>
            <w:hyperlink r:id="rId5" w:history="1">
              <w:r w:rsidRPr="008E24CF">
                <w:rPr>
                  <w:color w:val="FFFFFF"/>
                  <w:sz w:val="18"/>
                  <w:szCs w:val="18"/>
                  <w:u w:val="single"/>
                </w:rPr>
                <w:t>utc-iase@engr.uconn.edu</w:t>
              </w:r>
            </w:hyperlink>
          </w:p>
          <w:p w14:paraId="1C7CECE1" w14:textId="77777777" w:rsidR="008E24CF" w:rsidRPr="008E24CF" w:rsidRDefault="008E24CF" w:rsidP="008E24CF">
            <w:r w:rsidRPr="008E24CF">
              <w:rPr>
                <w:b/>
                <w:color w:val="FFFFFF"/>
                <w:sz w:val="20"/>
                <w:szCs w:val="20"/>
              </w:rPr>
              <w:t>Phone</w:t>
            </w:r>
            <w:r w:rsidRPr="008E24CF">
              <w:rPr>
                <w:color w:val="FFFFFF"/>
                <w:sz w:val="20"/>
                <w:szCs w:val="20"/>
              </w:rPr>
              <w:t>:</w:t>
            </w:r>
            <w:r w:rsidRPr="008E24CF">
              <w:rPr>
                <w:color w:val="FFFFFF"/>
                <w:sz w:val="18"/>
                <w:szCs w:val="18"/>
              </w:rPr>
              <w:t xml:space="preserve"> </w:t>
            </w:r>
            <w:r w:rsidRPr="008E24CF">
              <w:rPr>
                <w:color w:val="FFFFFF"/>
                <w:sz w:val="18"/>
                <w:szCs w:val="18"/>
              </w:rPr>
              <w:br/>
              <w:t>860.486.3355</w:t>
            </w:r>
          </w:p>
        </w:tc>
      </w:tr>
      <w:tr w:rsidR="008E24CF" w:rsidRPr="008E24CF" w14:paraId="7F3291A6" w14:textId="77777777" w:rsidTr="00641198">
        <w:tc>
          <w:tcPr>
            <w:tcW w:w="0" w:type="auto"/>
            <w:gridSpan w:val="2"/>
            <w:vMerge/>
            <w:vAlign w:val="center"/>
            <w:hideMark/>
          </w:tcPr>
          <w:p w14:paraId="0E611569" w14:textId="77777777" w:rsidR="008E24CF" w:rsidRPr="008E24CF" w:rsidRDefault="008E24CF" w:rsidP="008E24CF"/>
        </w:tc>
        <w:tc>
          <w:tcPr>
            <w:tcW w:w="0" w:type="auto"/>
            <w:vMerge/>
            <w:vAlign w:val="center"/>
            <w:hideMark/>
          </w:tcPr>
          <w:p w14:paraId="3D7F12B8" w14:textId="77777777" w:rsidR="008E24CF" w:rsidRPr="008E24CF" w:rsidRDefault="008E24CF" w:rsidP="008E24CF"/>
        </w:tc>
        <w:tc>
          <w:tcPr>
            <w:tcW w:w="2821" w:type="dxa"/>
            <w:gridSpan w:val="3"/>
            <w:hideMark/>
          </w:tcPr>
          <w:p w14:paraId="4EFDF1D0" w14:textId="77777777" w:rsidR="008E24CF" w:rsidRPr="008E24CF" w:rsidRDefault="008E24CF" w:rsidP="008E24CF"/>
        </w:tc>
      </w:tr>
      <w:tr w:rsidR="008E24CF" w:rsidRPr="008E24CF" w14:paraId="5FF7568A" w14:textId="77777777" w:rsidTr="00641198">
        <w:trPr>
          <w:trHeight w:val="188"/>
        </w:trPr>
        <w:tc>
          <w:tcPr>
            <w:tcW w:w="0" w:type="auto"/>
            <w:gridSpan w:val="2"/>
            <w:vMerge/>
            <w:vAlign w:val="center"/>
            <w:hideMark/>
          </w:tcPr>
          <w:p w14:paraId="520A8C62" w14:textId="77777777" w:rsidR="008E24CF" w:rsidRPr="008E24CF" w:rsidRDefault="008E24CF" w:rsidP="008E24CF"/>
        </w:tc>
        <w:tc>
          <w:tcPr>
            <w:tcW w:w="0" w:type="auto"/>
            <w:vMerge/>
            <w:vAlign w:val="center"/>
            <w:hideMark/>
          </w:tcPr>
          <w:p w14:paraId="79B867D6" w14:textId="77777777" w:rsidR="008E24CF" w:rsidRPr="008E24CF" w:rsidRDefault="008E24CF" w:rsidP="008E24CF"/>
        </w:tc>
        <w:tc>
          <w:tcPr>
            <w:tcW w:w="943" w:type="dxa"/>
            <w:hideMark/>
          </w:tcPr>
          <w:p w14:paraId="32746D96" w14:textId="77777777" w:rsidR="008E24CF" w:rsidRPr="008E24CF" w:rsidRDefault="008E24CF" w:rsidP="008E24CF">
            <w:pPr>
              <w:jc w:val="center"/>
            </w:pPr>
          </w:p>
        </w:tc>
        <w:tc>
          <w:tcPr>
            <w:tcW w:w="940" w:type="dxa"/>
          </w:tcPr>
          <w:p w14:paraId="379CDC40" w14:textId="77777777" w:rsidR="008E24CF" w:rsidRPr="008E24CF" w:rsidRDefault="008E24CF" w:rsidP="008E24CF">
            <w:pPr>
              <w:jc w:val="center"/>
            </w:pPr>
          </w:p>
        </w:tc>
        <w:tc>
          <w:tcPr>
            <w:tcW w:w="938" w:type="dxa"/>
          </w:tcPr>
          <w:p w14:paraId="17BA450A" w14:textId="77777777" w:rsidR="008E24CF" w:rsidRPr="008E24CF" w:rsidRDefault="008E24CF" w:rsidP="008E24CF">
            <w:pPr>
              <w:jc w:val="center"/>
            </w:pPr>
          </w:p>
        </w:tc>
      </w:tr>
      <w:tr w:rsidR="008E24CF" w:rsidRPr="008E24CF" w14:paraId="6ACC2079" w14:textId="77777777" w:rsidTr="00641198">
        <w:trPr>
          <w:trHeight w:val="1390"/>
        </w:trPr>
        <w:tc>
          <w:tcPr>
            <w:tcW w:w="0" w:type="auto"/>
            <w:gridSpan w:val="2"/>
            <w:vMerge/>
            <w:vAlign w:val="center"/>
          </w:tcPr>
          <w:p w14:paraId="2EBFD808" w14:textId="77777777" w:rsidR="008E24CF" w:rsidRPr="008E24CF" w:rsidRDefault="008E24CF" w:rsidP="008E24CF"/>
        </w:tc>
        <w:tc>
          <w:tcPr>
            <w:tcW w:w="0" w:type="auto"/>
            <w:vMerge/>
            <w:vAlign w:val="center"/>
          </w:tcPr>
          <w:p w14:paraId="10CF73F7" w14:textId="77777777" w:rsidR="008E24CF" w:rsidRPr="008E24CF" w:rsidRDefault="008E24CF" w:rsidP="008E24CF"/>
        </w:tc>
        <w:tc>
          <w:tcPr>
            <w:tcW w:w="943" w:type="dxa"/>
          </w:tcPr>
          <w:p w14:paraId="01A08208" w14:textId="77777777" w:rsidR="008E24CF" w:rsidRPr="008E24CF" w:rsidRDefault="008E24CF" w:rsidP="008E24CF">
            <w:pPr>
              <w:jc w:val="center"/>
              <w:rPr>
                <w:rFonts w:cs="Times New Roman"/>
                <w:noProof/>
              </w:rPr>
            </w:pPr>
            <w:r w:rsidRPr="008E24CF">
              <w:rPr>
                <w:rFonts w:cs="Times New Roman"/>
                <w:noProof/>
              </w:rPr>
              <w:drawing>
                <wp:inline distT="0" distB="0" distL="0" distR="0" wp14:anchorId="468EF66D" wp14:editId="759091C8">
                  <wp:extent cx="365760" cy="358775"/>
                  <wp:effectExtent l="0" t="0" r="0" b="3175"/>
                  <wp:docPr id="1"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358775"/>
                          </a:xfrm>
                          <a:prstGeom prst="rect">
                            <a:avLst/>
                          </a:prstGeom>
                          <a:noFill/>
                        </pic:spPr>
                      </pic:pic>
                    </a:graphicData>
                  </a:graphic>
                </wp:inline>
              </w:drawing>
            </w:r>
          </w:p>
        </w:tc>
        <w:tc>
          <w:tcPr>
            <w:tcW w:w="940" w:type="dxa"/>
          </w:tcPr>
          <w:p w14:paraId="05A92256" w14:textId="77777777" w:rsidR="008E24CF" w:rsidRPr="008E24CF" w:rsidRDefault="008E24CF" w:rsidP="008E24CF">
            <w:pPr>
              <w:jc w:val="center"/>
              <w:rPr>
                <w:rFonts w:cs="Times New Roman"/>
                <w:noProof/>
              </w:rPr>
            </w:pPr>
            <w:r w:rsidRPr="008E24CF">
              <w:rPr>
                <w:rFonts w:cs="Times New Roman"/>
                <w:noProof/>
              </w:rPr>
              <w:drawing>
                <wp:inline distT="0" distB="0" distL="0" distR="0" wp14:anchorId="46358BDC" wp14:editId="0F434779">
                  <wp:extent cx="365760" cy="36576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p>
        </w:tc>
        <w:tc>
          <w:tcPr>
            <w:tcW w:w="938" w:type="dxa"/>
          </w:tcPr>
          <w:p w14:paraId="4496DDEA" w14:textId="77777777" w:rsidR="008E24CF" w:rsidRPr="008E24CF" w:rsidRDefault="008E24CF" w:rsidP="008E24CF">
            <w:pPr>
              <w:jc w:val="center"/>
              <w:rPr>
                <w:rFonts w:cs="Times New Roman"/>
                <w:noProof/>
              </w:rPr>
            </w:pPr>
            <w:r w:rsidRPr="008E24CF">
              <w:rPr>
                <w:rFonts w:cs="Times New Roman"/>
                <w:noProof/>
              </w:rPr>
              <w:drawing>
                <wp:inline distT="0" distB="0" distL="0" distR="0" wp14:anchorId="2319AA8D" wp14:editId="2AB0A28A">
                  <wp:extent cx="365760" cy="358775"/>
                  <wp:effectExtent l="0" t="0" r="0" b="3175"/>
                  <wp:docPr id="3"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 cy="358775"/>
                          </a:xfrm>
                          <a:prstGeom prst="rect">
                            <a:avLst/>
                          </a:prstGeom>
                          <a:noFill/>
                        </pic:spPr>
                      </pic:pic>
                    </a:graphicData>
                  </a:graphic>
                </wp:inline>
              </w:drawing>
            </w:r>
          </w:p>
        </w:tc>
      </w:tr>
      <w:tr w:rsidR="008E24CF" w:rsidRPr="008E24CF" w14:paraId="72A8F431" w14:textId="77777777" w:rsidTr="00641198">
        <w:trPr>
          <w:trHeight w:val="151"/>
        </w:trPr>
        <w:tc>
          <w:tcPr>
            <w:tcW w:w="0" w:type="auto"/>
            <w:gridSpan w:val="2"/>
            <w:vMerge/>
            <w:vAlign w:val="center"/>
          </w:tcPr>
          <w:p w14:paraId="3406A0F8" w14:textId="77777777" w:rsidR="008E24CF" w:rsidRPr="008E24CF" w:rsidRDefault="008E24CF" w:rsidP="008E24CF"/>
        </w:tc>
        <w:tc>
          <w:tcPr>
            <w:tcW w:w="0" w:type="auto"/>
            <w:vMerge/>
            <w:vAlign w:val="center"/>
          </w:tcPr>
          <w:p w14:paraId="7D5A09DB" w14:textId="77777777" w:rsidR="008E24CF" w:rsidRPr="008E24CF" w:rsidRDefault="008E24CF" w:rsidP="008E24CF"/>
        </w:tc>
        <w:tc>
          <w:tcPr>
            <w:tcW w:w="943" w:type="dxa"/>
          </w:tcPr>
          <w:p w14:paraId="02390681" w14:textId="77777777" w:rsidR="008E24CF" w:rsidRPr="008E24CF" w:rsidRDefault="008E24CF" w:rsidP="008E24CF">
            <w:pPr>
              <w:jc w:val="center"/>
              <w:rPr>
                <w:rFonts w:cs="Times New Roman"/>
                <w:noProof/>
              </w:rPr>
            </w:pPr>
          </w:p>
        </w:tc>
        <w:tc>
          <w:tcPr>
            <w:tcW w:w="940" w:type="dxa"/>
          </w:tcPr>
          <w:p w14:paraId="60BB44B9" w14:textId="77777777" w:rsidR="008E24CF" w:rsidRPr="008E24CF" w:rsidRDefault="008E24CF" w:rsidP="008E24CF">
            <w:pPr>
              <w:jc w:val="center"/>
              <w:rPr>
                <w:rFonts w:cs="Times New Roman"/>
                <w:noProof/>
              </w:rPr>
            </w:pPr>
          </w:p>
        </w:tc>
        <w:tc>
          <w:tcPr>
            <w:tcW w:w="938" w:type="dxa"/>
          </w:tcPr>
          <w:p w14:paraId="0B486074" w14:textId="77777777" w:rsidR="008E24CF" w:rsidRPr="008E24CF" w:rsidRDefault="008E24CF" w:rsidP="008E24CF">
            <w:pPr>
              <w:jc w:val="center"/>
              <w:rPr>
                <w:rFonts w:cs="Times New Roman"/>
                <w:noProof/>
              </w:rPr>
            </w:pPr>
          </w:p>
        </w:tc>
      </w:tr>
      <w:tr w:rsidR="008E24CF" w:rsidRPr="008E24CF" w14:paraId="417B3015" w14:textId="77777777" w:rsidTr="00641198">
        <w:tc>
          <w:tcPr>
            <w:tcW w:w="10800" w:type="dxa"/>
            <w:gridSpan w:val="6"/>
          </w:tcPr>
          <w:p w14:paraId="56ACE287" w14:textId="77777777" w:rsidR="008E24CF" w:rsidRPr="008E24CF" w:rsidRDefault="008E24CF" w:rsidP="008E24CF"/>
        </w:tc>
      </w:tr>
      <w:tr w:rsidR="008E24CF" w:rsidRPr="008E24CF" w14:paraId="4B40B942" w14:textId="77777777" w:rsidTr="00641198">
        <w:trPr>
          <w:trHeight w:val="1440"/>
        </w:trPr>
        <w:tc>
          <w:tcPr>
            <w:tcW w:w="5840" w:type="dxa"/>
            <w:hideMark/>
          </w:tcPr>
          <w:p w14:paraId="2DF063B5" w14:textId="77777777" w:rsidR="008E24CF" w:rsidRPr="008E24CF" w:rsidRDefault="008E24CF" w:rsidP="008E24CF">
            <w:pPr>
              <w:ind w:left="-115"/>
            </w:pPr>
            <w:r w:rsidRPr="008E24CF">
              <w:rPr>
                <w:rFonts w:cs="Times New Roman"/>
                <w:noProof/>
              </w:rPr>
              <w:drawing>
                <wp:inline distT="0" distB="0" distL="0" distR="0" wp14:anchorId="55584E44" wp14:editId="37BF6124">
                  <wp:extent cx="3644599" cy="885108"/>
                  <wp:effectExtent l="0" t="0" r="0" b="0"/>
                  <wp:docPr id="4" name="Picture 4" descr="UTC-IASE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TC-IASE Logo-02"/>
                          <pic:cNvPicPr>
                            <a:picLocks noChangeAspect="1" noChangeArrowheads="1"/>
                          </pic:cNvPicPr>
                        </pic:nvPicPr>
                        <pic:blipFill>
                          <a:blip r:embed="rId12" cstate="print">
                            <a:extLst>
                              <a:ext uri="{28A0092B-C50C-407E-A947-70E740481C1C}">
                                <a14:useLocalDpi xmlns:a14="http://schemas.microsoft.com/office/drawing/2010/main" val="0"/>
                              </a:ext>
                            </a:extLst>
                          </a:blip>
                          <a:srcRect l="8626" t="34264" r="7751" b="39868"/>
                          <a:stretch>
                            <a:fillRect/>
                          </a:stretch>
                        </pic:blipFill>
                        <pic:spPr bwMode="auto">
                          <a:xfrm>
                            <a:off x="0" y="0"/>
                            <a:ext cx="3658670" cy="888525"/>
                          </a:xfrm>
                          <a:prstGeom prst="rect">
                            <a:avLst/>
                          </a:prstGeom>
                          <a:noFill/>
                          <a:ln>
                            <a:noFill/>
                          </a:ln>
                        </pic:spPr>
                      </pic:pic>
                    </a:graphicData>
                  </a:graphic>
                </wp:inline>
              </w:drawing>
            </w:r>
          </w:p>
        </w:tc>
        <w:tc>
          <w:tcPr>
            <w:tcW w:w="4960" w:type="dxa"/>
            <w:gridSpan w:val="5"/>
          </w:tcPr>
          <w:p w14:paraId="7A2DD491" w14:textId="77777777" w:rsidR="008E24CF" w:rsidRPr="008E24CF" w:rsidRDefault="008E24CF" w:rsidP="008E24CF">
            <w:pPr>
              <w:ind w:right="-102"/>
              <w:jc w:val="right"/>
            </w:pPr>
            <w:r w:rsidRPr="008E24CF">
              <w:rPr>
                <w:rFonts w:cs="Times New Roman"/>
                <w:noProof/>
              </w:rPr>
              <w:drawing>
                <wp:inline distT="0" distB="0" distL="0" distR="0" wp14:anchorId="43FE8522" wp14:editId="16464824">
                  <wp:extent cx="2838541" cy="87639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556" cy="878250"/>
                          </a:xfrm>
                          <a:prstGeom prst="rect">
                            <a:avLst/>
                          </a:prstGeom>
                          <a:noFill/>
                        </pic:spPr>
                      </pic:pic>
                    </a:graphicData>
                  </a:graphic>
                </wp:inline>
              </w:drawing>
            </w:r>
          </w:p>
        </w:tc>
      </w:tr>
    </w:tbl>
    <w:p w14:paraId="0D0FF91D" w14:textId="77777777" w:rsidR="00C54573" w:rsidRDefault="00C54573" w:rsidP="00AB4455">
      <w:bookmarkStart w:id="0" w:name="_GoBack"/>
      <w:bookmarkEnd w:id="0"/>
    </w:p>
    <w:sectPr w:rsidR="00C54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CF"/>
    <w:rsid w:val="000A1E61"/>
    <w:rsid w:val="00144200"/>
    <w:rsid w:val="001A60D0"/>
    <w:rsid w:val="00641198"/>
    <w:rsid w:val="008E24CF"/>
    <w:rsid w:val="00AB4455"/>
    <w:rsid w:val="00C54573"/>
    <w:rsid w:val="00E1307F"/>
    <w:rsid w:val="00F3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C822"/>
  <w15:chartTrackingRefBased/>
  <w15:docId w15:val="{7BA46AB1-EEC1-4201-982A-3A930211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4CF"/>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ConnIASE"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UTCIASE" TargetMode="External"/><Relationship Id="rId11" Type="http://schemas.openxmlformats.org/officeDocument/2006/relationships/image" Target="media/image3.png"/><Relationship Id="rId5" Type="http://schemas.openxmlformats.org/officeDocument/2006/relationships/hyperlink" Target="mailto:utc-iase@engr.uconn.edu" TargetMode="External"/><Relationship Id="rId15" Type="http://schemas.openxmlformats.org/officeDocument/2006/relationships/theme" Target="theme/theme1.xml"/><Relationship Id="rId10" Type="http://schemas.openxmlformats.org/officeDocument/2006/relationships/hyperlink" Target="https://www.linkedin.com/groups/8512041" TargetMode="External"/><Relationship Id="rId4" Type="http://schemas.openxmlformats.org/officeDocument/2006/relationships/hyperlink" Target="http://www.utc-iase.uconn.edu" TargetMode="Externa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Keisha</dc:creator>
  <cp:keywords/>
  <dc:description/>
  <cp:lastModifiedBy>Morse, Michelle</cp:lastModifiedBy>
  <cp:revision>2</cp:revision>
  <dcterms:created xsi:type="dcterms:W3CDTF">2018-10-01T12:53:00Z</dcterms:created>
  <dcterms:modified xsi:type="dcterms:W3CDTF">2018-10-01T12:53:00Z</dcterms:modified>
</cp:coreProperties>
</file>